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6C910" w14:textId="4B511F7E" w:rsidR="006033CE" w:rsidRPr="00715505" w:rsidRDefault="006033CE" w:rsidP="006033CE">
      <w:pPr>
        <w:spacing w:before="240"/>
        <w:ind w:left="360"/>
        <w:textAlignment w:val="baseline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71550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Eskom’s response.</w:t>
      </w:r>
    </w:p>
    <w:p w14:paraId="1F1C80F6" w14:textId="77777777" w:rsidR="006033CE" w:rsidRDefault="006033CE" w:rsidP="006033CE">
      <w:pPr>
        <w:rPr>
          <w:rFonts w:ascii="Verdana" w:hAnsi="Verdana"/>
          <w:color w:val="FF0000"/>
          <w:sz w:val="20"/>
          <w:szCs w:val="20"/>
        </w:rPr>
      </w:pPr>
    </w:p>
    <w:p w14:paraId="6CEFF298" w14:textId="77777777" w:rsidR="00F97CFD" w:rsidRDefault="00F97CFD" w:rsidP="006033CE">
      <w:pPr>
        <w:rPr>
          <w:rFonts w:ascii="Verdana" w:hAnsi="Verdana"/>
          <w:color w:val="FF0000"/>
          <w:sz w:val="20"/>
          <w:szCs w:val="20"/>
        </w:rPr>
      </w:pPr>
    </w:p>
    <w:p w14:paraId="518C1E1B" w14:textId="6D0F6EAC" w:rsidR="006B5D0D" w:rsidRDefault="006B5D0D" w:rsidP="006B5D0D">
      <w:r>
        <w:t>Questions 1</w:t>
      </w:r>
    </w:p>
    <w:p w14:paraId="5116A6F2" w14:textId="77777777" w:rsidR="006B5D0D" w:rsidRDefault="006B5D0D" w:rsidP="006B5D0D"/>
    <w:p w14:paraId="223B3EF7" w14:textId="076BE401" w:rsidR="006B5D0D" w:rsidRPr="006B5D0D" w:rsidRDefault="006B5D0D" w:rsidP="006B5D0D">
      <w:r w:rsidRPr="006B5D0D">
        <w:t xml:space="preserve">The Costing Schedule document has a section for training. Please see below. It is our assumption that this training is if the tenderer is offering a new solution to the one that is currently implemented in Eskom. Since we are offering maintenance on the existing </w:t>
      </w:r>
      <w:proofErr w:type="gramStart"/>
      <w:r w:rsidRPr="006B5D0D">
        <w:t>system,  we</w:t>
      </w:r>
      <w:proofErr w:type="gramEnd"/>
      <w:r w:rsidRPr="006B5D0D">
        <w:t xml:space="preserve"> assume that there is no need for us to provide any prices for this section.</w:t>
      </w:r>
    </w:p>
    <w:p w14:paraId="0FFBDC7D" w14:textId="77777777" w:rsidR="006B5D0D" w:rsidRDefault="006B5D0D" w:rsidP="006B5D0D"/>
    <w:p w14:paraId="31FF9E83" w14:textId="548F13EA" w:rsidR="006B5D0D" w:rsidRPr="006B5D0D" w:rsidRDefault="006B5D0D" w:rsidP="006B5D0D">
      <w:pPr>
        <w:rPr>
          <w:b/>
          <w:bCs/>
        </w:rPr>
      </w:pPr>
      <w:r w:rsidRPr="006B5D0D">
        <w:rPr>
          <w:b/>
          <w:bCs/>
        </w:rPr>
        <w:t>Answer</w:t>
      </w:r>
    </w:p>
    <w:p w14:paraId="2396357F" w14:textId="77777777" w:rsidR="006B5D0D" w:rsidRDefault="006B5D0D" w:rsidP="006B5D0D"/>
    <w:p w14:paraId="55EB52B6" w14:textId="232A29E7" w:rsidR="006B5D0D" w:rsidRPr="006B5D0D" w:rsidRDefault="006B5D0D" w:rsidP="006B5D0D">
      <w:r w:rsidRPr="006B5D0D">
        <w:t xml:space="preserve">Training needs to be indicated for how the </w:t>
      </w:r>
      <w:proofErr w:type="gramStart"/>
      <w:r w:rsidRPr="006B5D0D">
        <w:t>users(</w:t>
      </w:r>
      <w:proofErr w:type="gramEnd"/>
      <w:r w:rsidRPr="006B5D0D">
        <w:t>Super users, system user, and technical user) are going to use the PSSA as combined solution for PSST+PSMT. Discounts may be offered if the vendor makes that as part of their proposal.</w:t>
      </w:r>
    </w:p>
    <w:p w14:paraId="3FD0E6CF" w14:textId="77777777" w:rsidR="006B5D0D" w:rsidRDefault="006B5D0D" w:rsidP="006B5D0D"/>
    <w:p w14:paraId="3FAD278C" w14:textId="67F07B7C" w:rsidR="006B5D0D" w:rsidRDefault="006B5D0D" w:rsidP="006B5D0D">
      <w:r>
        <w:t xml:space="preserve">Questions </w:t>
      </w:r>
      <w:r>
        <w:t>2</w:t>
      </w:r>
    </w:p>
    <w:p w14:paraId="605F3626" w14:textId="77777777" w:rsidR="006B5D0D" w:rsidRPr="006B5D0D" w:rsidRDefault="006B5D0D" w:rsidP="006B5D0D"/>
    <w:p w14:paraId="4C33731B" w14:textId="77777777" w:rsidR="006B5D0D" w:rsidRPr="006B5D0D" w:rsidRDefault="006B5D0D" w:rsidP="006B5D0D">
      <w:proofErr w:type="gramStart"/>
      <w:r w:rsidRPr="006B5D0D">
        <w:t>Assuming that</w:t>
      </w:r>
      <w:proofErr w:type="gramEnd"/>
      <w:r w:rsidRPr="006B5D0D">
        <w:t xml:space="preserve"> we have to provide prices for this section. Kindly assist with clarification of the following</w:t>
      </w:r>
    </w:p>
    <w:p w14:paraId="6CD3BFD4" w14:textId="77777777" w:rsidR="006B5D0D" w:rsidRDefault="006B5D0D" w:rsidP="006B5D0D">
      <w:pPr>
        <w:numPr>
          <w:ilvl w:val="1"/>
          <w:numId w:val="11"/>
        </w:numPr>
      </w:pPr>
      <w:r w:rsidRPr="006B5D0D">
        <w:t>What is deemed as a session. Our assumption this is a single training course delivered.</w:t>
      </w:r>
    </w:p>
    <w:p w14:paraId="782DD800" w14:textId="2900C444" w:rsidR="006B5D0D" w:rsidRPr="006B5D0D" w:rsidRDefault="006B5D0D" w:rsidP="006B5D0D">
      <w:pPr>
        <w:rPr>
          <w:b/>
          <w:bCs/>
        </w:rPr>
      </w:pPr>
      <w:r w:rsidRPr="006B5D0D">
        <w:rPr>
          <w:b/>
          <w:bCs/>
        </w:rPr>
        <w:t>Answer</w:t>
      </w:r>
    </w:p>
    <w:p w14:paraId="12730CDF" w14:textId="77777777" w:rsidR="006B5D0D" w:rsidRDefault="006B5D0D" w:rsidP="006B5D0D">
      <w:pPr>
        <w:numPr>
          <w:ilvl w:val="0"/>
          <w:numId w:val="13"/>
        </w:numPr>
      </w:pPr>
      <w:r w:rsidRPr="006B5D0D">
        <w:t>Understanding of training session is correct, the vendor can split the sessions in the or proposal.</w:t>
      </w:r>
    </w:p>
    <w:p w14:paraId="5A58F98B" w14:textId="77777777" w:rsidR="006B5D0D" w:rsidRPr="006B5D0D" w:rsidRDefault="006B5D0D" w:rsidP="006B5D0D">
      <w:pPr>
        <w:ind w:left="2160"/>
      </w:pPr>
    </w:p>
    <w:p w14:paraId="62C18D5E" w14:textId="77777777" w:rsidR="006B5D0D" w:rsidRDefault="006B5D0D" w:rsidP="006B5D0D">
      <w:pPr>
        <w:numPr>
          <w:ilvl w:val="1"/>
          <w:numId w:val="11"/>
        </w:numPr>
      </w:pPr>
      <w:r w:rsidRPr="006B5D0D">
        <w:t>How many persons will be attending per session?</w:t>
      </w:r>
    </w:p>
    <w:p w14:paraId="0960FD00" w14:textId="77777777" w:rsidR="006B5D0D" w:rsidRDefault="006B5D0D" w:rsidP="006B5D0D">
      <w:pPr>
        <w:ind w:left="1440"/>
      </w:pPr>
    </w:p>
    <w:p w14:paraId="5EC8D5AB" w14:textId="28A9C4E8" w:rsidR="006B5D0D" w:rsidRPr="006B5D0D" w:rsidRDefault="006B5D0D" w:rsidP="006B5D0D">
      <w:pPr>
        <w:rPr>
          <w:b/>
          <w:bCs/>
        </w:rPr>
      </w:pPr>
      <w:r w:rsidRPr="006B5D0D">
        <w:rPr>
          <w:b/>
          <w:bCs/>
        </w:rPr>
        <w:t>Answer</w:t>
      </w:r>
    </w:p>
    <w:p w14:paraId="36593E7E" w14:textId="77777777" w:rsidR="006B5D0D" w:rsidRPr="006B5D0D" w:rsidRDefault="006B5D0D" w:rsidP="006B5D0D">
      <w:pPr>
        <w:numPr>
          <w:ilvl w:val="0"/>
          <w:numId w:val="14"/>
        </w:numPr>
      </w:pPr>
      <w:r w:rsidRPr="006B5D0D">
        <w:t>Section 2.4 provides user base (450 + 50 +50) users, Business and Technical Training requirements. The vendor must propose breakdown on how they will be splitting the training amongst the user base.</w:t>
      </w:r>
    </w:p>
    <w:p w14:paraId="18BF3E78" w14:textId="77777777" w:rsidR="006B5D0D" w:rsidRPr="006B5D0D" w:rsidRDefault="006B5D0D" w:rsidP="006B5D0D"/>
    <w:p w14:paraId="7BCC3B23" w14:textId="77777777" w:rsidR="006B5D0D" w:rsidRPr="006B5D0D" w:rsidRDefault="006B5D0D" w:rsidP="006B5D0D">
      <w:pPr>
        <w:numPr>
          <w:ilvl w:val="1"/>
          <w:numId w:val="11"/>
        </w:numPr>
      </w:pPr>
      <w:r w:rsidRPr="006B5D0D">
        <w:t>There are various training courses that can be offered to the different levels of users (Super suers, system user s and technical users). Kindly provide detailed breakdown of training courses to be delivered or the intended content for each course.</w:t>
      </w:r>
    </w:p>
    <w:p w14:paraId="65059ABC" w14:textId="77777777" w:rsidR="006B5D0D" w:rsidRPr="006B5D0D" w:rsidRDefault="006B5D0D" w:rsidP="006B5D0D"/>
    <w:p w14:paraId="230E033A" w14:textId="45D8244B" w:rsidR="006B5D0D" w:rsidRPr="006B5D0D" w:rsidRDefault="006B5D0D" w:rsidP="006B5D0D">
      <w:r w:rsidRPr="006B5D0D">
        <w:drawing>
          <wp:inline distT="0" distB="0" distL="0" distR="0" wp14:anchorId="3AC13C83" wp14:editId="7315452B">
            <wp:extent cx="5731510" cy="939165"/>
            <wp:effectExtent l="0" t="0" r="2540" b="13335"/>
            <wp:docPr id="1338269412" name="Picture 2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269412" name="Picture 2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E953E" w14:textId="77777777" w:rsidR="006B5D0D" w:rsidRDefault="006B5D0D" w:rsidP="006B5D0D"/>
    <w:p w14:paraId="3DD06F2C" w14:textId="348AFB9A" w:rsidR="006B5D0D" w:rsidRPr="006B5D0D" w:rsidRDefault="006B5D0D" w:rsidP="006B5D0D">
      <w:r w:rsidRPr="006B5D0D">
        <w:rPr>
          <w:b/>
          <w:bCs/>
        </w:rPr>
        <w:t>Answer:</w:t>
      </w:r>
      <w:r>
        <w:t xml:space="preserve"> </w:t>
      </w:r>
      <w:r w:rsidRPr="006B5D0D">
        <w:t>The vendor must propose breakdown on how they will be splitting the training amongst the user base.</w:t>
      </w:r>
    </w:p>
    <w:p w14:paraId="3BD747CA" w14:textId="77777777" w:rsidR="00F97CFD" w:rsidRPr="00F97CFD" w:rsidRDefault="00F97CFD" w:rsidP="00F97CFD"/>
    <w:p w14:paraId="44F9CE3E" w14:textId="77777777" w:rsidR="00F97CFD" w:rsidRDefault="00F97CFD" w:rsidP="00F97CFD">
      <w:pPr>
        <w:rPr>
          <w:color w:val="EE0000"/>
        </w:rPr>
      </w:pPr>
    </w:p>
    <w:p w14:paraId="047CBF07" w14:textId="77777777" w:rsidR="00F97CFD" w:rsidRDefault="00F97CFD" w:rsidP="00F97CFD">
      <w:pPr>
        <w:rPr>
          <w:color w:val="EE0000"/>
        </w:rPr>
      </w:pPr>
    </w:p>
    <w:p w14:paraId="19984775" w14:textId="77777777" w:rsidR="00F97CFD" w:rsidRPr="00F97CFD" w:rsidRDefault="00F97CFD" w:rsidP="00F97CFD">
      <w:pPr>
        <w:rPr>
          <w:color w:val="EE0000"/>
        </w:rPr>
      </w:pPr>
    </w:p>
    <w:p w14:paraId="306398AB" w14:textId="77777777" w:rsidR="00552EC1" w:rsidRDefault="00552EC1"/>
    <w:sectPr w:rsidR="00552E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6C41"/>
    <w:multiLevelType w:val="hybridMultilevel"/>
    <w:tmpl w:val="8056090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11CDD"/>
    <w:multiLevelType w:val="multilevel"/>
    <w:tmpl w:val="1982F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7403A0"/>
    <w:multiLevelType w:val="hybridMultilevel"/>
    <w:tmpl w:val="63C4D5B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23C8E"/>
    <w:multiLevelType w:val="hybridMultilevel"/>
    <w:tmpl w:val="BC685A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A3D79"/>
    <w:multiLevelType w:val="hybridMultilevel"/>
    <w:tmpl w:val="F15A9774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1107DC"/>
    <w:multiLevelType w:val="hybridMultilevel"/>
    <w:tmpl w:val="8292C02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99020B"/>
    <w:multiLevelType w:val="hybridMultilevel"/>
    <w:tmpl w:val="0CBE15D0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3240" w:hanging="360"/>
      </w:pPr>
    </w:lvl>
    <w:lvl w:ilvl="2" w:tplc="FFFFFFFF">
      <w:start w:val="1"/>
      <w:numFmt w:val="lowerRoman"/>
      <w:lvlText w:val="%3."/>
      <w:lvlJc w:val="right"/>
      <w:pPr>
        <w:ind w:left="3960" w:hanging="180"/>
      </w:pPr>
    </w:lvl>
    <w:lvl w:ilvl="3" w:tplc="FFFFFFFF">
      <w:start w:val="1"/>
      <w:numFmt w:val="decimal"/>
      <w:lvlText w:val="%4."/>
      <w:lvlJc w:val="left"/>
      <w:pPr>
        <w:ind w:left="4680" w:hanging="360"/>
      </w:pPr>
    </w:lvl>
    <w:lvl w:ilvl="4" w:tplc="FFFFFFFF">
      <w:start w:val="1"/>
      <w:numFmt w:val="lowerLetter"/>
      <w:lvlText w:val="%5."/>
      <w:lvlJc w:val="left"/>
      <w:pPr>
        <w:ind w:left="5400" w:hanging="360"/>
      </w:pPr>
    </w:lvl>
    <w:lvl w:ilvl="5" w:tplc="FFFFFFFF">
      <w:start w:val="1"/>
      <w:numFmt w:val="lowerRoman"/>
      <w:lvlText w:val="%6."/>
      <w:lvlJc w:val="right"/>
      <w:pPr>
        <w:ind w:left="6120" w:hanging="180"/>
      </w:pPr>
    </w:lvl>
    <w:lvl w:ilvl="6" w:tplc="FFFFFFFF">
      <w:start w:val="1"/>
      <w:numFmt w:val="decimal"/>
      <w:lvlText w:val="%7."/>
      <w:lvlJc w:val="left"/>
      <w:pPr>
        <w:ind w:left="6840" w:hanging="360"/>
      </w:pPr>
    </w:lvl>
    <w:lvl w:ilvl="7" w:tplc="FFFFFFFF">
      <w:start w:val="1"/>
      <w:numFmt w:val="lowerLetter"/>
      <w:lvlText w:val="%8."/>
      <w:lvlJc w:val="left"/>
      <w:pPr>
        <w:ind w:left="7560" w:hanging="360"/>
      </w:pPr>
    </w:lvl>
    <w:lvl w:ilvl="8" w:tplc="FFFFFFFF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77E259D9"/>
    <w:multiLevelType w:val="hybridMultilevel"/>
    <w:tmpl w:val="A52E41D2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3240" w:hanging="360"/>
      </w:pPr>
    </w:lvl>
    <w:lvl w:ilvl="2" w:tplc="FFFFFFFF">
      <w:start w:val="1"/>
      <w:numFmt w:val="lowerRoman"/>
      <w:lvlText w:val="%3."/>
      <w:lvlJc w:val="right"/>
      <w:pPr>
        <w:ind w:left="3960" w:hanging="180"/>
      </w:pPr>
    </w:lvl>
    <w:lvl w:ilvl="3" w:tplc="FFFFFFFF">
      <w:start w:val="1"/>
      <w:numFmt w:val="decimal"/>
      <w:lvlText w:val="%4."/>
      <w:lvlJc w:val="left"/>
      <w:pPr>
        <w:ind w:left="4680" w:hanging="360"/>
      </w:pPr>
    </w:lvl>
    <w:lvl w:ilvl="4" w:tplc="FFFFFFFF">
      <w:start w:val="1"/>
      <w:numFmt w:val="lowerLetter"/>
      <w:lvlText w:val="%5."/>
      <w:lvlJc w:val="left"/>
      <w:pPr>
        <w:ind w:left="5400" w:hanging="360"/>
      </w:pPr>
    </w:lvl>
    <w:lvl w:ilvl="5" w:tplc="FFFFFFFF">
      <w:start w:val="1"/>
      <w:numFmt w:val="lowerRoman"/>
      <w:lvlText w:val="%6."/>
      <w:lvlJc w:val="right"/>
      <w:pPr>
        <w:ind w:left="6120" w:hanging="180"/>
      </w:pPr>
    </w:lvl>
    <w:lvl w:ilvl="6" w:tplc="FFFFFFFF">
      <w:start w:val="1"/>
      <w:numFmt w:val="decimal"/>
      <w:lvlText w:val="%7."/>
      <w:lvlJc w:val="left"/>
      <w:pPr>
        <w:ind w:left="6840" w:hanging="360"/>
      </w:pPr>
    </w:lvl>
    <w:lvl w:ilvl="7" w:tplc="FFFFFFFF">
      <w:start w:val="1"/>
      <w:numFmt w:val="lowerLetter"/>
      <w:lvlText w:val="%8."/>
      <w:lvlJc w:val="left"/>
      <w:pPr>
        <w:ind w:left="7560" w:hanging="360"/>
      </w:pPr>
    </w:lvl>
    <w:lvl w:ilvl="8" w:tplc="FFFFFFFF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7CE06B5D"/>
    <w:multiLevelType w:val="hybridMultilevel"/>
    <w:tmpl w:val="D93E9DE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194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4077218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-72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987438780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 w16cid:durableId="1316950666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 w16cid:durableId="1542591270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6" w16cid:durableId="1019892048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553852359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 w16cid:durableId="180818756">
    <w:abstractNumId w:val="5"/>
  </w:num>
  <w:num w:numId="9" w16cid:durableId="849216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9195161">
    <w:abstractNumId w:val="2"/>
  </w:num>
  <w:num w:numId="11" w16cid:durableId="16893300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72180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094517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6015994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34412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3CE"/>
    <w:rsid w:val="00246895"/>
    <w:rsid w:val="003D0927"/>
    <w:rsid w:val="00513ACC"/>
    <w:rsid w:val="005441BD"/>
    <w:rsid w:val="00552EC1"/>
    <w:rsid w:val="006033CE"/>
    <w:rsid w:val="006B5D0D"/>
    <w:rsid w:val="00715505"/>
    <w:rsid w:val="008E16DB"/>
    <w:rsid w:val="00C37CE5"/>
    <w:rsid w:val="00CF207C"/>
    <w:rsid w:val="00D61F59"/>
    <w:rsid w:val="00DA0932"/>
    <w:rsid w:val="00F97CFD"/>
    <w:rsid w:val="00FB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6527B"/>
  <w15:chartTrackingRefBased/>
  <w15:docId w15:val="{1BE5FBAE-B854-4A03-B9F2-150B077B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3CE"/>
    <w:pPr>
      <w:spacing w:after="0" w:line="240" w:lineRule="auto"/>
    </w:pPr>
    <w:rPr>
      <w:rFonts w:ascii="Aptos" w:hAnsi="Aptos" w:cs="Aptos"/>
      <w:kern w:val="0"/>
      <w:sz w:val="24"/>
      <w:szCs w:val="24"/>
      <w:lang w:eastAsia="en-Z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3C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33C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3C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3C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3C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3C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3C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3C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3C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3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33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3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3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3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3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3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3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3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3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03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33C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03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33CE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033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33CE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033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33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33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33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1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C41AF.94017D0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Shabalala</dc:creator>
  <cp:keywords/>
  <dc:description/>
  <cp:lastModifiedBy>Herman Mhlongo</cp:lastModifiedBy>
  <cp:revision>2</cp:revision>
  <dcterms:created xsi:type="dcterms:W3CDTF">2025-10-22T12:16:00Z</dcterms:created>
  <dcterms:modified xsi:type="dcterms:W3CDTF">2025-10-22T12:16:00Z</dcterms:modified>
</cp:coreProperties>
</file>